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 w:line="276"/>
        <w:jc w:val="right"/>
      </w:pPr>
      <w:r>
        <w:rPr>
          <w:sz w:val="20"/>
          <w:szCs w:val="20"/>
          <w:rFonts w:ascii="DejaVu Sans" w:cs="DejaVu Sans" w:eastAsia="DejaVu Sans" w:hAnsi="DejaVu Sans"/>
        </w:rPr>
        <w:t xml:space="preserve">Kielce, 05.11.2026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Sąd Rejonowy właściwy dla pozwanego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— Wydział Gospodarczy</w:t>
      </w:r>
    </w:p>
    <w:p>
      <w:pPr>
        <w:spacing w:after="28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</w:r>
    </w:p>
    <w:p>
      <w:pPr>
        <w:spacing w:after="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Wnioskodawca: MICRON Komunikacja Miejska sp. z o.o., ul. 1 Maja 81, 25-614 Kielce, KRS 0001267902, NIP 9592096948</w:t>
      </w:r>
    </w:p>
    <w:p>
      <w:pPr>
        <w:spacing w:after="20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reprezentowany przez radcę prawnego [radca kancelarii partnerskiej]</w:t>
      </w:r>
    </w:p>
    <w:p>
      <w:pPr>
        <w:spacing w:after="2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Przeciwnik: Przykładowa Spółka sp. z o.o., ul. Testowa 1, 00-001 Warszawa, NIP 1234567890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Wartość przedmiotu sporu: 2 006,00 zł</w:t>
      </w:r>
    </w:p>
    <w:p>
      <w:pPr>
        <w:spacing w:after="32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Opłata: 40,00 zł</w:t>
      </w:r>
    </w:p>
    <w:p>
      <w:pPr>
        <w:spacing w:after="240" w:line="276"/>
        <w:jc w:val="center"/>
      </w:pPr>
      <w:r>
        <w:rPr>
          <w:b/>
          <w:bCs/>
          <w:sz w:val="26"/>
          <w:szCs w:val="26"/>
          <w:rFonts w:ascii="DejaVu Sans" w:cs="DejaVu Sans" w:eastAsia="DejaVu Sans" w:hAnsi="DejaVu Sans"/>
        </w:rPr>
        <w:t xml:space="preserve">WNIOSEK O ZAWEZWANIE DO PRÓBY UGODOWEJ</w:t>
      </w:r>
    </w:p>
    <w:p>
      <w:pPr>
        <w:spacing w:after="16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Na podstawie art. 184–186 kpc, w imieniu wnioskodawcy, wnoszę o:</w:t>
      </w:r>
    </w:p>
    <w:p>
      <w:pPr>
        <w:spacing w:after="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1. zawezwanie przeciwnika Przykładowa Spółka sp. z o.o. (NIP 1234567890) do próby ugodowej w sprawie o zapłatę kwoty 2 005,77 zł, na którą składają się:</w:t>
      </w:r>
    </w:p>
    <w:p>
      <w:pPr>
        <w:spacing w:after="4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a) 1 362,90 zł tytułem rekompensat (art. 10 ust. 1 ustawy z 8.03.2013 r.),</w:t>
      </w:r>
    </w:p>
    <w:p>
      <w:pPr>
        <w:spacing w:after="4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b) 642,87 zł tytułem skapitalizowanych odsetek ustawowych za opóźnienie w transakcjach handlowych (art. 7 ust. 1 ustawy),</w:t>
      </w:r>
    </w:p>
    <w:p>
      <w:pPr>
        <w:spacing w:after="12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wraz z odsetkami ustawowymi za opóźnienie do dnia zapłaty;</w:t>
      </w:r>
    </w:p>
    <w:p>
      <w:pPr>
        <w:spacing w:after="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2. wyznaczenie posiedzenia i wezwanie przeciwnika do udziału w próbie ugodowej;</w:t>
      </w:r>
    </w:p>
    <w:p>
      <w:pPr>
        <w:spacing w:after="2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3. zasądzenie kosztów postępowania pojednawczego według norm przepisanych.</w:t>
      </w:r>
    </w:p>
    <w:p>
      <w:pPr>
        <w:spacing w:after="160" w:line="276"/>
        <w:jc w:val="left"/>
      </w:pPr>
      <w:r>
        <w:rPr>
          <w:b/>
          <w:bCs/>
          <w:sz w:val="24"/>
          <w:szCs w:val="24"/>
          <w:rFonts w:ascii="DejaVu Sans" w:cs="DejaVu Sans" w:eastAsia="DejaVu Sans" w:hAnsi="DejaVu Sans"/>
        </w:rPr>
        <w:t xml:space="preserve">Zwięzłe oznaczenie sprawy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Wnioskodawca i przeciwnik pozostawali w stałych stosunkach handlowych. Wnioskodawca spełnił świadczenia udokumentowane fakturami VAT z załącznika nr 1. Przeciwnik zapłacił należności po terminach albo ich nie zapłacił. Z tego tytułu wnioskodawcy przysługują rekompensaty (art. 10 ustawy) oraz odsetki ustawowe za opóźnienie w transakcjach handlowych (art. 7 ustawy).</w:t>
      </w:r>
    </w:p>
    <w:p>
      <w:pPr>
        <w:spacing w:after="20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Złożenie niniejszego wniosku zmierza do polubownego zakończenia sporu i przerywa bieg przedawnienia roszczeń (art. 123 § 1 pkt 1 kc).</w:t>
      </w:r>
    </w:p>
    <w:p>
      <w:pPr>
        <w:spacing w:after="8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Zestawienie faktur (załącznik nr 1):</w:t>
      </w:r>
    </w:p>
    <w:p>
      <w:pPr>
        <w:spacing w:after="40" w:line="276"/>
        <w:jc w:val="left"/>
      </w:pPr>
      <w:r>
        <w:rPr>
          <w:sz w:val="19"/>
          <w:szCs w:val="19"/>
          <w:rFonts w:ascii="DejaVu Sans" w:cs="DejaVu Sans" w:eastAsia="DejaVu Sans" w:hAnsi="DejaVu Sans"/>
        </w:rPr>
        <w:t xml:space="preserve">• FV/2025/03/012 — brutto 4 200,00 zł, termin 14.04.2025, niezapłacona, 8 dni opóźnienia, 40 EUR × 4,1839 (2025-03); rekompensata 167,36 zł, odsetki 14,50 zł</w:t>
      </w:r>
    </w:p>
    <w:p>
      <w:pPr>
        <w:spacing w:after="40" w:line="276"/>
        <w:jc w:val="left"/>
      </w:pPr>
      <w:r>
        <w:rPr>
          <w:sz w:val="19"/>
          <w:szCs w:val="19"/>
          <w:rFonts w:ascii="DejaVu Sans" w:cs="DejaVu Sans" w:eastAsia="DejaVu Sans" w:hAnsi="DejaVu Sans"/>
        </w:rPr>
        <w:t xml:space="preserve">• FV/2025/03/018 — brutto 12 300,00 zł, termin 30.04.2025, niezapłacona, 19 dni opóźnienia, 70 EUR × 4,2778 (2025-04); rekompensata 299,45 zł, odsetki 100,84 zł</w:t>
      </w:r>
    </w:p>
    <w:p>
      <w:pPr>
        <w:spacing w:after="40" w:line="276"/>
        <w:jc w:val="left"/>
      </w:pPr>
      <w:r>
        <w:rPr>
          <w:sz w:val="19"/>
          <w:szCs w:val="19"/>
          <w:rFonts w:ascii="DejaVu Sans" w:cs="DejaVu Sans" w:eastAsia="DejaVu Sans" w:hAnsi="DejaVu Sans"/>
        </w:rPr>
        <w:t xml:space="preserve">• FV/2025/04/007 — brutto 61 500,00 zł, termin 15.05.2025, niezapłacona, 18 dni opóźnienia, 100 EUR × 4,2778 (2025-04); rekompensata 427,78 zł, odsetki 477,68 zł</w:t>
      </w:r>
    </w:p>
    <w:p>
      <w:pPr>
        <w:spacing w:after="40" w:line="276"/>
        <w:jc w:val="left"/>
      </w:pPr>
      <w:r>
        <w:rPr>
          <w:sz w:val="19"/>
          <w:szCs w:val="19"/>
          <w:rFonts w:ascii="DejaVu Sans" w:cs="DejaVu Sans" w:eastAsia="DejaVu Sans" w:hAnsi="DejaVu Sans"/>
        </w:rPr>
        <w:t xml:space="preserve">• FV/2025/05/022 — brutto 3 690,00 zł, termin 30.06.2025, niezapłacona, 3 dni opóźnienia, 40 EUR × 4,2419 (2025-06); rekompensata 169,68 zł, odsetki 4,63 zł</w:t>
      </w:r>
    </w:p>
    <w:p>
      <w:pPr>
        <w:spacing w:after="40" w:line="276"/>
        <w:jc w:val="left"/>
      </w:pPr>
      <w:r>
        <w:rPr>
          <w:sz w:val="19"/>
          <w:szCs w:val="19"/>
          <w:rFonts w:ascii="DejaVu Sans" w:cs="DejaVu Sans" w:eastAsia="DejaVu Sans" w:hAnsi="DejaVu Sans"/>
        </w:rPr>
        <w:t xml:space="preserve">• FV/2025/06/030 — brutto 9 840,00 zł, termin 31.07.2025, niezapłacona, 11 dni opóźnienia, 70 EUR × 4,2661 (2025-07); rekompensata 298,63 zł, odsetki 45,22 zł</w:t>
      </w:r>
    </w:p>
    <w:p>
      <w:pPr>
        <w:spacing w:after="320" w:line="276"/>
        <w:jc w:val="left"/>
      </w:pPr>
      <w:r>
        <w:rPr>
          <w:sz w:val="20"/>
          <w:szCs w:val="20"/>
          <w:rFonts w:ascii="DejaVu Sans" w:cs="DejaVu Sans" w:eastAsia="DejaVu Sans" w:hAnsi="DejaVu Sans"/>
        </w:rPr>
        <w:t xml:space="preserve">Razem: rekompensaty 1 362,90 zł, odsetki 642,87 zł, WPS 2 006,00 zł.</w:t>
      </w:r>
    </w:p>
    <w:p>
      <w:pPr>
        <w:spacing w:after="28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radca prawny [radca kancelarii partnerskiej]</w:t>
      </w:r>
    </w:p>
    <w:p>
      <w:pPr>
        <w:spacing w:after="0" w:line="276"/>
        <w:jc w:val="left"/>
      </w:pPr>
      <w:r>
        <w:rPr>
          <w:sz w:val="16"/>
          <w:szCs w:val="16"/>
          <w:rFonts w:ascii="DejaVu Sans" w:cs="DejaVu Sans" w:eastAsia="DejaVu Sans" w:hAnsi="DejaVu Sans"/>
        </w:rPr>
        <w:t xml:space="preserve">Numer sprawy: 2026/020s. Szablon: court.settlement_request v1.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Terminowi</dc:creator>
  <dc:description>Dokument wygenerowany przez Terminowi docs-gen</dc:description>
  <cp:lastModifiedBy>Un-named</cp:lastModifiedBy>
  <cp:revision>1</cp:revision>
  <dcterms:created xsi:type="dcterms:W3CDTF">2026-11-05T11:10:19.507Z</dcterms:created>
  <dcterms:modified xsi:type="dcterms:W3CDTF">2026-11-05T11:10:19.507Z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