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 w:line="276"/>
        <w:jc w:val="right"/>
      </w:pPr>
      <w:r>
        <w:rPr>
          <w:sz w:val="20"/>
          <w:szCs w:val="20"/>
          <w:rFonts w:ascii="DejaVu Sans" w:cs="DejaVu Sans" w:eastAsia="DejaVu Sans" w:hAnsi="DejaVu Sans"/>
        </w:rPr>
        <w:t xml:space="preserve">Kielce, 05.11.2026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Sąd Rejonowy właściwy dla pozwanego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— Wydział Gospodarczy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</w:r>
    </w:p>
    <w:p>
      <w:pPr>
        <w:spacing w:after="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Powód: MICRON Komunikacja Miejska sp. z o.o., ul. 1 Maja 81, 25-614 Kielce, KRS 0001267902, NIP 9592096948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reprezentowany przez radcę prawnego [radca kancelarii partnerskiej]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Pozwany: Przykładowa Spółka sp. z o.o., ul. Testowa 1, 00-001 Warszawa, NIP 1234567890</w:t>
      </w:r>
    </w:p>
    <w:p>
      <w:pPr>
        <w:spacing w:after="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Wartość przedmiotu sporu: 2 006,00 zł</w:t>
      </w:r>
    </w:p>
    <w:p>
      <w:pPr>
        <w:spacing w:after="32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Opłata: 50,00 zł</w:t>
      </w:r>
    </w:p>
    <w:p>
      <w:pPr>
        <w:spacing w:after="240" w:line="276"/>
        <w:jc w:val="center"/>
      </w:pPr>
      <w:r>
        <w:rPr>
          <w:b/>
          <w:bCs/>
          <w:sz w:val="26"/>
          <w:szCs w:val="26"/>
          <w:rFonts w:ascii="DejaVu Sans" w:cs="DejaVu Sans" w:eastAsia="DejaVu Sans" w:hAnsi="DejaVu Sans"/>
        </w:rPr>
        <w:t xml:space="preserve">POZEW O ZAPŁATĘ (w postępowaniu upominawczym)</w:t>
      </w:r>
    </w:p>
    <w:p>
      <w:pPr>
        <w:spacing w:after="16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 imieniu powoda, na podstawie pełnomocnictwa w załączeniu, wnoszę o: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zasądzenie od pozwanego na rzecz powoda kwoty 2 005,77 zł, w tym: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a) 1 362,90 zł tytułem rekompensat za koszty odzyskiwania należności (art. 10 ust. 1 ustawy z 8.03.2013 r.), z odsetkami ustawowymi za opóźnienie od dnia doręczenia wezwania do dnia zapłaty,</w:t>
      </w:r>
    </w:p>
    <w:p>
      <w:pPr>
        <w:spacing w:after="4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b) 642,87 zł tytułem skapitalizowanych odsetek ustawowych za opóźnienie w transakcjach handlowych (art. 7 ust. 1 ustawy),</w:t>
      </w:r>
    </w:p>
    <w:p>
      <w:pPr>
        <w:spacing w:after="120" w:line="276"/>
        <w:ind w:left="360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wraz z kosztami postępowania, w tym kosztami zastępstwa procesowego według norm przepisanych i opłatą skarbową od pełnomocnictwa (art. 98 § 1¹ kpc);</w:t>
      </w:r>
    </w:p>
    <w:p>
      <w:pPr>
        <w:spacing w:after="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przeprowadzenie dowodów z dokumentów wskazanych w uzasadnieniu, na fakty tam wskazane;</w:t>
      </w:r>
    </w:p>
    <w:p>
      <w:pPr>
        <w:spacing w:after="20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rozpoznanie sprawy także pod nieobecność powoda i jego pełnomocnika.</w:t>
      </w:r>
    </w:p>
    <w:p>
      <w:pPr>
        <w:spacing w:after="24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Na podstawie art. 187 § 1 pkt 3 kpc oświadczam, że strony podjęły próbę polubownego rozwiązania sporu: powód wezwał pozwanego do zapłaty, pozwany nie zapłacił.</w:t>
      </w:r>
    </w:p>
    <w:p>
      <w:pPr>
        <w:spacing w:after="160" w:line="276"/>
        <w:jc w:val="left"/>
      </w:pPr>
      <w:r>
        <w:rPr>
          <w:b/>
          <w:bCs/>
          <w:sz w:val="24"/>
          <w:szCs w:val="24"/>
          <w:rFonts w:ascii="DejaVu Sans" w:cs="DejaVu Sans" w:eastAsia="DejaVu Sans" w:hAnsi="DejaVu Sans"/>
        </w:rPr>
        <w:t xml:space="preserve">Uzasadnienie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1. Stosunek prawny. Strony łączyły transakcje handlowe w rozumieniu art. 4 pkt 1 ustawy z dnia 8 marca 2013 r. o przeciwdziałaniu nadmiernym opóźnieniom w transakcjach handlowych. Powód spełnił świadczenia i wystawił faktury VAT wymienione w załączniku nr 1, z terminami płatności tam wskazanymi.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2. Opóźnienie. Pozwany zapłacił należności po terminach (dzień uznania rachunku powoda), co wynika z wyciągów bankowych. Dni opóźnienia dla każdej faktury wskazano w załączniku nr 1.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3. Rekompensaty. Zgodnie z art. 10 ust. 1 ustawy wierzycielowi przysługuje od dłużnika, bez wezwania, rekompensata za koszty odzyskiwania należności (40, 70 albo 100 euro), przeliczona według średniego kursu euro NBP z ostatniego dnia roboczego miesiąca poprzedzającego miesiąc wymagalności (art. 10 ust. 1a). Powód dochodzi rekompensat od każdej faktury łącznie w jednym postępowaniu.</w:t>
      </w:r>
    </w:p>
    <w:p>
      <w:pPr>
        <w:spacing w:after="12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4. Odsetki. Na podstawie art. 7 ust. 1 ustawy powodowi przysługują odsetki ustawowe za opóźnienie w transakcjach handlowych od dnia następującego po terminie do dnia zapłaty. Wysokość odsetek dla każdej faktury przedstawia załącznik nr 1.</w:t>
      </w:r>
    </w:p>
    <w:p>
      <w:pPr>
        <w:spacing w:after="80" w:line="276"/>
        <w:jc w:val="left"/>
      </w:pPr>
      <w:r>
        <w:rPr>
          <w:b/>
          <w:bCs/>
          <w:sz w:val="22"/>
          <w:szCs w:val="22"/>
          <w:rFonts w:ascii="DejaVu Sans" w:cs="DejaVu Sans" w:eastAsia="DejaVu Sans" w:hAnsi="DejaVu Sans"/>
        </w:rPr>
        <w:t xml:space="preserve">Zestawienie faktur (załącznik nr 1):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FV/2025/03/012 — brutto 4 200,00 zł, termin 14.04.2025, niezapłacona, 8 dni opóźnienia, 40 EUR × 4,1839 (2025-03); rekompensata 167,36 zł, odsetki 14,50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FV/2025/03/018 — brutto 12 300,00 zł, termin 30.04.2025, niezapłacona, 19 dni opóźnienia, 70 EUR × 4,2778 (2025-04); rekompensata 299,45 zł, odsetki 100,84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FV/2025/04/007 — brutto 61 500,00 zł, termin 15.05.2025, niezapłacona, 18 dni opóźnienia, 100 EUR × 4,2778 (2025-04); rekompensata 427,78 zł, odsetki 477,68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FV/2025/05/022 — brutto 3 690,00 zł, termin 30.06.2025, niezapłacona, 3 dni opóźnienia, 40 EUR × 4,2419 (2025-06); rekompensata 169,68 zł, odsetki 4,63 zł</w:t>
      </w:r>
    </w:p>
    <w:p>
      <w:pPr>
        <w:spacing w:after="40" w:line="276"/>
        <w:jc w:val="left"/>
      </w:pPr>
      <w:r>
        <w:rPr>
          <w:sz w:val="19"/>
          <w:szCs w:val="19"/>
          <w:rFonts w:ascii="DejaVu Sans" w:cs="DejaVu Sans" w:eastAsia="DejaVu Sans" w:hAnsi="DejaVu Sans"/>
        </w:rPr>
        <w:t xml:space="preserve">• FV/2025/06/030 — brutto 9 840,00 zł, termin 31.07.2025, niezapłacona, 11 dni opóźnienia, 70 EUR × 4,2661 (2025-07); rekompensata 298,63 zł, odsetki 45,22 zł</w:t>
      </w:r>
    </w:p>
    <w:p>
      <w:pPr>
        <w:spacing w:after="320" w:line="276"/>
        <w:jc w:val="left"/>
      </w:pPr>
      <w:r>
        <w:rPr>
          <w:sz w:val="20"/>
          <w:szCs w:val="20"/>
          <w:rFonts w:ascii="DejaVu Sans" w:cs="DejaVu Sans" w:eastAsia="DejaVu Sans" w:hAnsi="DejaVu Sans"/>
        </w:rPr>
        <w:t xml:space="preserve">Razem: rekompensaty 1 362,90 zł, odsetki 642,87 zł, WPS 2 006,00 zł.</w:t>
      </w:r>
    </w:p>
    <w:p>
      <w:pPr>
        <w:spacing w:after="280" w:line="276"/>
        <w:jc w:val="left"/>
      </w:pPr>
      <w:r>
        <w:rPr>
          <w:sz w:val="22"/>
          <w:szCs w:val="22"/>
          <w:rFonts w:ascii="DejaVu Sans" w:cs="DejaVu Sans" w:eastAsia="DejaVu Sans" w:hAnsi="DejaVu Sans"/>
        </w:rPr>
        <w:t xml:space="preserve">radca prawny [radca kancelarii partnerskiej]</w:t>
      </w:r>
    </w:p>
    <w:p>
      <w:pPr>
        <w:spacing w:after="0" w:line="276"/>
        <w:jc w:val="left"/>
      </w:pPr>
      <w:r>
        <w:rPr>
          <w:sz w:val="16"/>
          <w:szCs w:val="16"/>
          <w:rFonts w:ascii="DejaVu Sans" w:cs="DejaVu Sans" w:eastAsia="DejaVu Sans" w:hAnsi="DejaVu Sans"/>
        </w:rPr>
        <w:t xml:space="preserve">Numer sprawy: 2026/020s. Szablon: court.standard_claim v1.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Terminowi</dc:creator>
  <dc:description>Dokument wygenerowany przez Terminowi docs-gen</dc:description>
  <cp:lastModifiedBy>Un-named</cp:lastModifiedBy>
  <cp:revision>1</cp:revision>
  <dcterms:created xsi:type="dcterms:W3CDTF">2026-11-05T11:10:24.620Z</dcterms:created>
  <dcterms:modified xsi:type="dcterms:W3CDTF">2026-11-05T11:10:24.620Z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